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E7" w:rsidRDefault="00D97BE7" w:rsidP="005967DB">
      <w:pPr>
        <w:tabs>
          <w:tab w:val="clear" w:pos="5103"/>
        </w:tabs>
      </w:pPr>
    </w:p>
    <w:p w:rsidR="002E537D" w:rsidRDefault="002E537D" w:rsidP="005967DB">
      <w:pPr>
        <w:tabs>
          <w:tab w:val="clear" w:pos="5103"/>
        </w:tabs>
      </w:pPr>
    </w:p>
    <w:p w:rsidR="002E537D" w:rsidRPr="002E537D" w:rsidRDefault="002E537D" w:rsidP="005967DB">
      <w:pPr>
        <w:tabs>
          <w:tab w:val="clear" w:pos="5103"/>
        </w:tabs>
        <w:rPr>
          <w:b/>
          <w:color w:val="FF0000"/>
          <w:sz w:val="28"/>
        </w:rPr>
      </w:pPr>
      <w:r w:rsidRPr="002E537D">
        <w:rPr>
          <w:b/>
          <w:color w:val="FF0000"/>
          <w:sz w:val="28"/>
        </w:rPr>
        <w:t>Ergänzung zur Brief 2021/194 Aufbewahrungs- und Löschfristen Mütter- und Väterberatung</w:t>
      </w:r>
    </w:p>
    <w:p w:rsidR="002E537D" w:rsidRDefault="002E537D" w:rsidP="005967DB">
      <w:pPr>
        <w:tabs>
          <w:tab w:val="clear" w:pos="5103"/>
        </w:tabs>
      </w:pPr>
    </w:p>
    <w:p w:rsidR="002E537D" w:rsidRDefault="002E537D" w:rsidP="005967DB">
      <w:pPr>
        <w:tabs>
          <w:tab w:val="clear" w:pos="5103"/>
        </w:tabs>
      </w:pPr>
      <w:r>
        <w:t>In Absprache mit dem Staatsarchiv Baselland können folgende Ergänzende Empfehlungen gemacht werden:</w:t>
      </w:r>
    </w:p>
    <w:p w:rsidR="002E537D" w:rsidRDefault="002E537D" w:rsidP="002E537D">
      <w:pPr>
        <w:pStyle w:val="Listenabsatz"/>
        <w:numPr>
          <w:ilvl w:val="0"/>
          <w:numId w:val="25"/>
        </w:numPr>
        <w:tabs>
          <w:tab w:val="clear" w:pos="5103"/>
        </w:tabs>
      </w:pPr>
      <w:r>
        <w:t>Die Aufbewahrungs</w:t>
      </w:r>
      <w:r w:rsidR="00984231">
        <w:t>frist</w:t>
      </w:r>
      <w:bookmarkStart w:id="0" w:name="_GoBack"/>
      <w:bookmarkEnd w:id="0"/>
      <w:r>
        <w:t xml:space="preserve"> dauert 10 </w:t>
      </w:r>
      <w:r w:rsidR="00984231">
        <w:t xml:space="preserve">bis max. 20 </w:t>
      </w:r>
      <w:r>
        <w:t>Jahre</w:t>
      </w:r>
      <w:r w:rsidR="00984231">
        <w:t>. Daten sollten dann definitiv gelöscht werden. Das Staatsarchiv empfiehlt im Falle der MVB 10 Jahre Aufbewahrung.</w:t>
      </w:r>
    </w:p>
    <w:p w:rsidR="00984231" w:rsidRDefault="00984231" w:rsidP="002E537D">
      <w:pPr>
        <w:pStyle w:val="Listenabsatz"/>
        <w:numPr>
          <w:ilvl w:val="0"/>
          <w:numId w:val="25"/>
        </w:numPr>
        <w:tabs>
          <w:tab w:val="clear" w:pos="5103"/>
        </w:tabs>
      </w:pPr>
      <w:r>
        <w:t>Nach 10 Jahren können die Daten bewertet werden und eine selektive, längere Archivierung ist möglich z.B. bei komplexen Dossiers.</w:t>
      </w:r>
    </w:p>
    <w:p w:rsidR="002E537D" w:rsidRDefault="00984231" w:rsidP="002E537D">
      <w:pPr>
        <w:pStyle w:val="Listenabsatz"/>
        <w:numPr>
          <w:ilvl w:val="0"/>
          <w:numId w:val="25"/>
        </w:numPr>
        <w:tabs>
          <w:tab w:val="clear" w:pos="5103"/>
        </w:tabs>
      </w:pPr>
      <w:r>
        <w:t>Die Gemeinden archivieren selbständig. Die Gemeinden können sich bei Fragen ans Staatsarchiv wenden.</w:t>
      </w:r>
    </w:p>
    <w:p w:rsidR="002E537D" w:rsidRDefault="002E537D" w:rsidP="005967DB">
      <w:pPr>
        <w:tabs>
          <w:tab w:val="clear" w:pos="5103"/>
        </w:tabs>
      </w:pPr>
    </w:p>
    <w:p w:rsidR="002E537D" w:rsidRDefault="002E537D" w:rsidP="005967DB">
      <w:pPr>
        <w:tabs>
          <w:tab w:val="clear" w:pos="5103"/>
        </w:tabs>
      </w:pPr>
    </w:p>
    <w:p w:rsidR="002E537D" w:rsidRDefault="00984231" w:rsidP="005967DB">
      <w:pPr>
        <w:tabs>
          <w:tab w:val="clear" w:pos="5103"/>
        </w:tabs>
      </w:pPr>
      <w:r>
        <w:t>DH/05.10.2021</w:t>
      </w:r>
    </w:p>
    <w:p w:rsidR="002E537D" w:rsidRDefault="002E537D" w:rsidP="005967DB">
      <w:pPr>
        <w:tabs>
          <w:tab w:val="clear" w:pos="5103"/>
        </w:tabs>
      </w:pPr>
    </w:p>
    <w:sectPr w:rsidR="002E537D" w:rsidSect="00D87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418" w:right="851" w:bottom="851" w:left="1418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7D" w:rsidRDefault="002E537D" w:rsidP="00CE1DA8">
      <w:r>
        <w:separator/>
      </w:r>
    </w:p>
  </w:endnote>
  <w:endnote w:type="continuationSeparator" w:id="0">
    <w:p w:rsidR="002E537D" w:rsidRDefault="002E537D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9D" w:rsidRDefault="00CD54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2F6BEF" w:rsidTr="00352F60">
      <w:tc>
        <w:tcPr>
          <w:tcW w:w="9071" w:type="dxa"/>
          <w:tcMar>
            <w:left w:w="0" w:type="dxa"/>
            <w:right w:w="0" w:type="dxa"/>
          </w:tcMar>
          <w:vAlign w:val="bottom"/>
        </w:tcPr>
        <w:p w:rsidR="002F6BEF" w:rsidRDefault="002F6BEF" w:rsidP="00D97BE7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2F6BEF" w:rsidRDefault="002F6BEF" w:rsidP="00352F60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D549D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2E537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2F6BEF" w:rsidRPr="007D4887" w:rsidRDefault="002F6BEF" w:rsidP="002F6BEF">
    <w:pPr>
      <w:pStyle w:val="Seitenzahlrechts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9D" w:rsidRDefault="00CD549D" w:rsidP="00CD549D">
    <w:pPr>
      <w:pStyle w:val="Seitenzahlrecht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7D" w:rsidRDefault="002E537D" w:rsidP="00CE1DA8">
      <w:r>
        <w:separator/>
      </w:r>
    </w:p>
  </w:footnote>
  <w:footnote w:type="continuationSeparator" w:id="0">
    <w:p w:rsidR="002E537D" w:rsidRDefault="002E537D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9D" w:rsidRDefault="00CD54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887" w:rsidRDefault="00D8772A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37A29052" wp14:editId="4DC2A352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9D" w:rsidRDefault="001C3F0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7F06C73B" wp14:editId="7FFC4D61">
          <wp:simplePos x="0" y="0"/>
          <wp:positionH relativeFrom="rightMargin">
            <wp:posOffset>-3673069</wp:posOffset>
          </wp:positionH>
          <wp:positionV relativeFrom="page">
            <wp:posOffset>248717</wp:posOffset>
          </wp:positionV>
          <wp:extent cx="3964838" cy="863193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4838" cy="863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76254"/>
    <w:multiLevelType w:val="hybridMultilevel"/>
    <w:tmpl w:val="1D0491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25522"/>
    <w:multiLevelType w:val="multilevel"/>
    <w:tmpl w:val="4A74BD5C"/>
    <w:numStyleLink w:val="ParlamentsdiensteProtokoll"/>
  </w:abstractNum>
  <w:abstractNum w:abstractNumId="9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5567E4"/>
    <w:multiLevelType w:val="multilevel"/>
    <w:tmpl w:val="0409001F"/>
    <w:numStyleLink w:val="AktennotizTraktanden"/>
  </w:abstractNum>
  <w:abstractNum w:abstractNumId="13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4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4"/>
  </w:num>
  <w:num w:numId="5">
    <w:abstractNumId w:val="14"/>
  </w:num>
  <w:num w:numId="6">
    <w:abstractNumId w:val="11"/>
  </w:num>
  <w:num w:numId="7">
    <w:abstractNumId w:val="16"/>
  </w:num>
  <w:num w:numId="8">
    <w:abstractNumId w:val="10"/>
  </w:num>
  <w:num w:numId="9">
    <w:abstractNumId w:val="5"/>
  </w:num>
  <w:num w:numId="10">
    <w:abstractNumId w:val="1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8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2"/>
  </w:num>
  <w:num w:numId="20">
    <w:abstractNumId w:val="8"/>
  </w:num>
  <w:num w:numId="21">
    <w:abstractNumId w:val="8"/>
  </w:num>
  <w:num w:numId="22">
    <w:abstractNumId w:val="13"/>
  </w:num>
  <w:num w:numId="23">
    <w:abstractNumId w:val="13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7D"/>
    <w:rsid w:val="00007047"/>
    <w:rsid w:val="0005403C"/>
    <w:rsid w:val="00070DF5"/>
    <w:rsid w:val="0010061A"/>
    <w:rsid w:val="001506A8"/>
    <w:rsid w:val="00153DEE"/>
    <w:rsid w:val="001671FA"/>
    <w:rsid w:val="001677AF"/>
    <w:rsid w:val="00174E06"/>
    <w:rsid w:val="001C3F01"/>
    <w:rsid w:val="001D73C6"/>
    <w:rsid w:val="0021003D"/>
    <w:rsid w:val="0021474E"/>
    <w:rsid w:val="002242C4"/>
    <w:rsid w:val="002658D5"/>
    <w:rsid w:val="002E537D"/>
    <w:rsid w:val="002F6BEF"/>
    <w:rsid w:val="003135EB"/>
    <w:rsid w:val="003476E6"/>
    <w:rsid w:val="003506BC"/>
    <w:rsid w:val="00367C52"/>
    <w:rsid w:val="003814C8"/>
    <w:rsid w:val="003C10D1"/>
    <w:rsid w:val="003D2971"/>
    <w:rsid w:val="0049519B"/>
    <w:rsid w:val="0049536B"/>
    <w:rsid w:val="004A03D0"/>
    <w:rsid w:val="005037D5"/>
    <w:rsid w:val="00590F09"/>
    <w:rsid w:val="005967DB"/>
    <w:rsid w:val="005A46F6"/>
    <w:rsid w:val="006172D4"/>
    <w:rsid w:val="00635C42"/>
    <w:rsid w:val="006508B8"/>
    <w:rsid w:val="006C1AD4"/>
    <w:rsid w:val="006D7264"/>
    <w:rsid w:val="006F5B6F"/>
    <w:rsid w:val="00723246"/>
    <w:rsid w:val="007566AD"/>
    <w:rsid w:val="00792E4D"/>
    <w:rsid w:val="0079320D"/>
    <w:rsid w:val="007C4023"/>
    <w:rsid w:val="007D4887"/>
    <w:rsid w:val="007E707C"/>
    <w:rsid w:val="00811C2C"/>
    <w:rsid w:val="00816A12"/>
    <w:rsid w:val="0082090D"/>
    <w:rsid w:val="00834719"/>
    <w:rsid w:val="008447EC"/>
    <w:rsid w:val="008B4C51"/>
    <w:rsid w:val="008C1D00"/>
    <w:rsid w:val="0090406E"/>
    <w:rsid w:val="00911ED0"/>
    <w:rsid w:val="00925B8F"/>
    <w:rsid w:val="009432F3"/>
    <w:rsid w:val="00954F79"/>
    <w:rsid w:val="00960A42"/>
    <w:rsid w:val="00984231"/>
    <w:rsid w:val="009854F4"/>
    <w:rsid w:val="009C1E75"/>
    <w:rsid w:val="00A06C9B"/>
    <w:rsid w:val="00A83A82"/>
    <w:rsid w:val="00A93141"/>
    <w:rsid w:val="00AB1276"/>
    <w:rsid w:val="00AE7D5E"/>
    <w:rsid w:val="00B079D5"/>
    <w:rsid w:val="00B117E2"/>
    <w:rsid w:val="00B563A3"/>
    <w:rsid w:val="00B77C7C"/>
    <w:rsid w:val="00B80740"/>
    <w:rsid w:val="00B949DF"/>
    <w:rsid w:val="00BD24F3"/>
    <w:rsid w:val="00C17B35"/>
    <w:rsid w:val="00C46A02"/>
    <w:rsid w:val="00C65412"/>
    <w:rsid w:val="00CC7A97"/>
    <w:rsid w:val="00CD294D"/>
    <w:rsid w:val="00CD549D"/>
    <w:rsid w:val="00CE1DA8"/>
    <w:rsid w:val="00CF3110"/>
    <w:rsid w:val="00D8772A"/>
    <w:rsid w:val="00D94C23"/>
    <w:rsid w:val="00D96736"/>
    <w:rsid w:val="00D97BE7"/>
    <w:rsid w:val="00E2044D"/>
    <w:rsid w:val="00E22917"/>
    <w:rsid w:val="00E472C2"/>
    <w:rsid w:val="00E83249"/>
    <w:rsid w:val="00F03C10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5A6E19B"/>
  <w14:defaultImageDpi w14:val="300"/>
  <w15:docId w15:val="{600FF814-A7C9-47F8-BD6E-BF1EA6D0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72A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tabs>
        <w:tab w:val="clear" w:pos="5103"/>
      </w:tabs>
      <w:spacing w:before="240" w:after="60" w:line="264" w:lineRule="auto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tabs>
        <w:tab w:val="clear" w:pos="5103"/>
      </w:tabs>
      <w:spacing w:before="240" w:after="60" w:line="264" w:lineRule="auto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tabs>
        <w:tab w:val="clear" w:pos="5103"/>
      </w:tabs>
      <w:spacing w:before="240" w:after="60" w:line="264" w:lineRule="auto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lear" w:pos="5103"/>
        <w:tab w:val="center" w:pos="4820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03C10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BD24F3"/>
    <w:pPr>
      <w:numPr>
        <w:numId w:val="17"/>
      </w:numPr>
      <w:ind w:left="1276"/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BD24F3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pPr>
      <w:tabs>
        <w:tab w:val="clear" w:pos="5103"/>
      </w:tabs>
      <w:spacing w:after="0"/>
    </w:pPr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tabs>
        <w:tab w:val="clear" w:pos="5103"/>
      </w:tabs>
      <w:spacing w:before="80" w:after="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clear" w:pos="5103"/>
        <w:tab w:val="left" w:pos="567"/>
      </w:tabs>
      <w:spacing w:after="0" w:line="264" w:lineRule="auto"/>
      <w:ind w:left="1021" w:hanging="1021"/>
    </w:pPr>
    <w:rPr>
      <w:rFonts w:eastAsia="Times New Roman" w:cs="Times New Roman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rsid w:val="00F03C10"/>
    <w:pPr>
      <w:spacing w:after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tabs>
        <w:tab w:val="clear" w:pos="5103"/>
      </w:tabs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pos="9639"/>
      </w:tabs>
      <w:spacing w:after="0" w:line="264" w:lineRule="auto"/>
      <w:ind w:left="1276" w:right="425" w:hanging="992"/>
    </w:pPr>
    <w:rPr>
      <w:rFonts w:eastAsia="Times New Roman" w:cs="Times New Roman"/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 w:after="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leader="dot" w:pos="9629"/>
      </w:tabs>
      <w:spacing w:after="0" w:line="264" w:lineRule="auto"/>
      <w:ind w:left="1276" w:hanging="1276"/>
    </w:pPr>
    <w:rPr>
      <w:rFonts w:eastAsia="Times New Roman" w:cs="Times New Roman"/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110537\AppData\Roaming\Microsoft\Templates\BL\05%20Blanko%20hoch%20DH%20VGD%20AG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3B6E-C39D-4933-8BD5-A9DEBD7B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DH VGD AGH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DH</vt:lpstr>
      <vt:lpstr/>
    </vt:vector>
  </TitlesOfParts>
  <Company>Kanton Basel Landschaft</Company>
  <LinksUpToDate>false</LinksUpToDate>
  <CharactersWithSpaces>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DH</dc:title>
  <dc:creator>Hodel, Denise VGD</dc:creator>
  <dc:description>Vorlage erstellt am: 25.03.2019 12:12:31, Version</dc:description>
  <cp:lastModifiedBy>Hodel, Denise VGD</cp:lastModifiedBy>
  <cp:revision>1</cp:revision>
  <cp:lastPrinted>2015-12-01T09:42:00Z</cp:lastPrinted>
  <dcterms:created xsi:type="dcterms:W3CDTF">2021-10-05T10:41:00Z</dcterms:created>
  <dcterms:modified xsi:type="dcterms:W3CDTF">2021-10-05T11:27:00Z</dcterms:modified>
</cp:coreProperties>
</file>